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E01E1" w14:textId="77777777" w:rsidR="00816C3C" w:rsidRDefault="00816C3C" w:rsidP="00816C3C">
      <w:pPr>
        <w:jc w:val="center"/>
        <w:rPr>
          <w:rFonts w:ascii="Garamond" w:hAnsi="Garamond"/>
          <w:sz w:val="24"/>
          <w:szCs w:val="24"/>
        </w:rPr>
      </w:pPr>
      <w:r>
        <w:rPr>
          <w:rFonts w:ascii="Garamond" w:hAnsi="Garamond"/>
          <w:sz w:val="24"/>
          <w:szCs w:val="24"/>
        </w:rPr>
        <w:t>Policy Evaluation</w:t>
      </w:r>
    </w:p>
    <w:p w14:paraId="68FBC036" w14:textId="4075F9DF" w:rsidR="00816C3C" w:rsidRDefault="00816C3C" w:rsidP="00816C3C">
      <w:pPr>
        <w:jc w:val="center"/>
        <w:rPr>
          <w:rFonts w:ascii="Garamond" w:hAnsi="Garamond"/>
          <w:sz w:val="24"/>
          <w:szCs w:val="24"/>
        </w:rPr>
      </w:pPr>
      <w:r>
        <w:rPr>
          <w:rFonts w:ascii="Garamond" w:hAnsi="Garamond"/>
          <w:sz w:val="24"/>
          <w:szCs w:val="24"/>
        </w:rPr>
        <w:t>Mock exam 2026</w:t>
      </w:r>
    </w:p>
    <w:p w14:paraId="18A19EE7" w14:textId="77777777" w:rsidR="00816C3C" w:rsidRDefault="00816C3C" w:rsidP="00590EF1">
      <w:pPr>
        <w:jc w:val="both"/>
        <w:rPr>
          <w:rFonts w:ascii="Garamond" w:hAnsi="Garamond"/>
          <w:sz w:val="24"/>
          <w:szCs w:val="24"/>
        </w:rPr>
      </w:pPr>
    </w:p>
    <w:p w14:paraId="021E1235" w14:textId="1D09B641" w:rsidR="00083DB6" w:rsidRPr="00590EF1" w:rsidRDefault="00083DB6" w:rsidP="00F82B0B">
      <w:pPr>
        <w:jc w:val="both"/>
        <w:rPr>
          <w:rFonts w:ascii="Garamond" w:hAnsi="Garamond"/>
          <w:sz w:val="24"/>
          <w:szCs w:val="24"/>
        </w:rPr>
      </w:pPr>
      <w:r w:rsidRPr="00590EF1">
        <w:rPr>
          <w:rFonts w:ascii="Garamond" w:hAnsi="Garamond"/>
          <w:sz w:val="24"/>
          <w:szCs w:val="24"/>
        </w:rPr>
        <w:t xml:space="preserve">A. True or False </w:t>
      </w:r>
    </w:p>
    <w:p w14:paraId="7054AC47" w14:textId="0D808A03" w:rsidR="00083DB6" w:rsidRDefault="00083DB6" w:rsidP="00F82B0B">
      <w:pPr>
        <w:jc w:val="both"/>
        <w:rPr>
          <w:rFonts w:ascii="Garamond" w:hAnsi="Garamond"/>
          <w:sz w:val="24"/>
          <w:szCs w:val="24"/>
        </w:rPr>
      </w:pPr>
      <w:r w:rsidRPr="00590EF1">
        <w:rPr>
          <w:rFonts w:ascii="Garamond" w:hAnsi="Garamond"/>
          <w:sz w:val="24"/>
          <w:szCs w:val="24"/>
        </w:rPr>
        <w:t xml:space="preserve">Explain your answer fully carefully, since all the credit is based on the explanation. Your grade depends entirely on the substance of your justification, not on whether you are correct in writing “True” or “False”. Note that it is possible to answer each question for full credit with three sentences or fewer, and answers longer than eight lines long will not be graded. </w:t>
      </w:r>
    </w:p>
    <w:p w14:paraId="173B4892" w14:textId="585BB459" w:rsidR="00816C3C" w:rsidRDefault="00816C3C" w:rsidP="00F82B0B">
      <w:pPr>
        <w:jc w:val="both"/>
        <w:rPr>
          <w:rFonts w:ascii="Garamond" w:hAnsi="Garamond"/>
          <w:sz w:val="24"/>
          <w:szCs w:val="24"/>
        </w:rPr>
      </w:pPr>
    </w:p>
    <w:p w14:paraId="749FCC18" w14:textId="5037F81C" w:rsidR="00816C3C" w:rsidRPr="00816C3C" w:rsidRDefault="00816C3C" w:rsidP="00F82B0B">
      <w:pPr>
        <w:pStyle w:val="ListParagraph"/>
        <w:numPr>
          <w:ilvl w:val="0"/>
          <w:numId w:val="1"/>
        </w:numPr>
        <w:jc w:val="both"/>
        <w:rPr>
          <w:rFonts w:ascii="Garamond" w:hAnsi="Garamond"/>
          <w:sz w:val="24"/>
          <w:szCs w:val="24"/>
        </w:rPr>
      </w:pPr>
      <w:r w:rsidRPr="00816C3C">
        <w:rPr>
          <w:rFonts w:ascii="Garamond" w:hAnsi="Garamond"/>
          <w:sz w:val="24"/>
          <w:szCs w:val="24"/>
        </w:rPr>
        <w:t>RCTs help avoid selection bias because treatment is randomly assigned.</w:t>
      </w:r>
    </w:p>
    <w:p w14:paraId="3165A3D7" w14:textId="6C8D55AA" w:rsidR="00816C3C" w:rsidRPr="00816C3C" w:rsidRDefault="00816C3C" w:rsidP="00F82B0B">
      <w:pPr>
        <w:jc w:val="both"/>
        <w:rPr>
          <w:rFonts w:ascii="Garamond" w:hAnsi="Garamond"/>
          <w:sz w:val="24"/>
          <w:szCs w:val="24"/>
        </w:rPr>
      </w:pPr>
      <w:r w:rsidRPr="00816C3C">
        <w:rPr>
          <w:rFonts w:ascii="Garamond" w:hAnsi="Garamond"/>
          <w:sz w:val="24"/>
          <w:szCs w:val="24"/>
        </w:rPr>
        <w:t xml:space="preserve">True. Random assignment ensures that treatment and control groups are comparable at baseline, </w:t>
      </w:r>
      <w:r>
        <w:rPr>
          <w:rFonts w:ascii="Garamond" w:hAnsi="Garamond"/>
          <w:sz w:val="24"/>
          <w:szCs w:val="24"/>
        </w:rPr>
        <w:t>mitigating</w:t>
      </w:r>
      <w:r w:rsidRPr="00816C3C">
        <w:rPr>
          <w:rFonts w:ascii="Garamond" w:hAnsi="Garamond"/>
          <w:sz w:val="24"/>
          <w:szCs w:val="24"/>
        </w:rPr>
        <w:t xml:space="preserve"> systematic differences between groups.</w:t>
      </w:r>
      <w:r>
        <w:rPr>
          <w:rFonts w:ascii="Garamond" w:hAnsi="Garamond"/>
          <w:sz w:val="24"/>
          <w:szCs w:val="24"/>
        </w:rPr>
        <w:t xml:space="preserve"> We can use balance tables to test whether observables are similar.</w:t>
      </w:r>
    </w:p>
    <w:p w14:paraId="234B30F8" w14:textId="67DB03E3" w:rsidR="00816C3C" w:rsidRPr="00816C3C" w:rsidRDefault="00816C3C" w:rsidP="00F82B0B">
      <w:pPr>
        <w:pStyle w:val="ListParagraph"/>
        <w:numPr>
          <w:ilvl w:val="0"/>
          <w:numId w:val="1"/>
        </w:numPr>
        <w:jc w:val="both"/>
        <w:rPr>
          <w:rFonts w:ascii="Garamond" w:hAnsi="Garamond"/>
          <w:sz w:val="24"/>
          <w:szCs w:val="24"/>
        </w:rPr>
      </w:pPr>
      <w:r w:rsidRPr="00816C3C">
        <w:rPr>
          <w:rFonts w:ascii="Garamond" w:hAnsi="Garamond"/>
          <w:sz w:val="24"/>
          <w:szCs w:val="24"/>
        </w:rPr>
        <w:t>Statistical significance is mainly concerned with avoiding false negatives.</w:t>
      </w:r>
    </w:p>
    <w:p w14:paraId="16A266F9" w14:textId="77777777" w:rsidR="00816C3C" w:rsidRPr="00816C3C" w:rsidRDefault="00816C3C" w:rsidP="00F82B0B">
      <w:pPr>
        <w:jc w:val="both"/>
        <w:rPr>
          <w:rFonts w:ascii="Garamond" w:hAnsi="Garamond"/>
          <w:sz w:val="24"/>
          <w:szCs w:val="24"/>
        </w:rPr>
      </w:pPr>
      <w:r w:rsidRPr="00816C3C">
        <w:rPr>
          <w:rFonts w:ascii="Garamond" w:hAnsi="Garamond"/>
          <w:sz w:val="24"/>
          <w:szCs w:val="24"/>
        </w:rPr>
        <w:t>False. Statistical significance focuses on avoiding false positives — concluding that a program had an effect when it actually did not.</w:t>
      </w:r>
    </w:p>
    <w:p w14:paraId="6F551FDE" w14:textId="3765DAD8" w:rsidR="00816C3C" w:rsidRPr="00816C3C" w:rsidRDefault="00816C3C" w:rsidP="00F82B0B">
      <w:pPr>
        <w:pStyle w:val="ListParagraph"/>
        <w:numPr>
          <w:ilvl w:val="0"/>
          <w:numId w:val="1"/>
        </w:numPr>
        <w:jc w:val="both"/>
        <w:rPr>
          <w:rFonts w:ascii="Garamond" w:hAnsi="Garamond"/>
          <w:sz w:val="24"/>
          <w:szCs w:val="24"/>
        </w:rPr>
      </w:pPr>
      <w:r w:rsidRPr="00816C3C">
        <w:rPr>
          <w:rFonts w:ascii="Garamond" w:hAnsi="Garamond"/>
          <w:sz w:val="24"/>
          <w:szCs w:val="24"/>
        </w:rPr>
        <w:t>A study with low statistical power may fail to detect a true effect.</w:t>
      </w:r>
    </w:p>
    <w:p w14:paraId="2FB47771"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Statistical power measures the probability of detecting an effect when one truly exists. Low power increases the risk of false negatives.</w:t>
      </w:r>
    </w:p>
    <w:p w14:paraId="39570431" w14:textId="400C13F3"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Within-subject experimental designs eliminate concerns about order or fatigue effects.</w:t>
      </w:r>
    </w:p>
    <w:p w14:paraId="5A4892FB" w14:textId="77777777" w:rsidR="00816C3C" w:rsidRPr="00816C3C" w:rsidRDefault="00816C3C" w:rsidP="00F82B0B">
      <w:pPr>
        <w:jc w:val="both"/>
        <w:rPr>
          <w:rFonts w:ascii="Garamond" w:hAnsi="Garamond"/>
          <w:sz w:val="24"/>
          <w:szCs w:val="24"/>
        </w:rPr>
      </w:pPr>
      <w:r w:rsidRPr="00816C3C">
        <w:rPr>
          <w:rFonts w:ascii="Garamond" w:hAnsi="Garamond"/>
          <w:sz w:val="24"/>
          <w:szCs w:val="24"/>
        </w:rPr>
        <w:t>False. Although within-subject designs use each participant as their own control, they may create order effects or participant fatigue because subjects experience multiple treatments.</w:t>
      </w:r>
    </w:p>
    <w:p w14:paraId="2D3B9674" w14:textId="72C43771"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Spillovers in RCTs can lead to overestimation or underestimation of treatment effects.</w:t>
      </w:r>
    </w:p>
    <w:p w14:paraId="6207AFDD"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Spillovers occur when the treatment affects control units indirectly. Depending on the direction of the spillover, estimated effects may be biased upward or downward.</w:t>
      </w:r>
    </w:p>
    <w:p w14:paraId="5BF29550" w14:textId="228A6C66"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Attrition is only problematic when many participants leave the study.</w:t>
      </w:r>
    </w:p>
    <w:p w14:paraId="04570AB6" w14:textId="77777777" w:rsidR="00816C3C" w:rsidRPr="00816C3C" w:rsidRDefault="00816C3C" w:rsidP="00F82B0B">
      <w:pPr>
        <w:jc w:val="both"/>
        <w:rPr>
          <w:rFonts w:ascii="Garamond" w:hAnsi="Garamond"/>
          <w:sz w:val="24"/>
          <w:szCs w:val="24"/>
        </w:rPr>
      </w:pPr>
      <w:r w:rsidRPr="00816C3C">
        <w:rPr>
          <w:rFonts w:ascii="Garamond" w:hAnsi="Garamond"/>
          <w:sz w:val="24"/>
          <w:szCs w:val="24"/>
        </w:rPr>
        <w:t>False. Attrition becomes especially problematic when the people leaving the study differ systematically from those remaining, particularly if correlated with treatment status.</w:t>
      </w:r>
    </w:p>
    <w:p w14:paraId="1A42AA22" w14:textId="044490F3"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In a Sharp Regression Discontinuity Design, everyone complies with the treatment assignment rule.</w:t>
      </w:r>
    </w:p>
    <w:p w14:paraId="0A858ECE"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A Sharp RDD assumes perfect compliance: all individuals above the cutoff receive treatment and all below do not.</w:t>
      </w:r>
    </w:p>
    <w:p w14:paraId="6232B360" w14:textId="2E25D4C5"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Regression Discontinuity Designs rely on the continuity assumption near the cutoff.</w:t>
      </w:r>
    </w:p>
    <w:p w14:paraId="4E185493"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RDD assumes that individuals just above and below the cutoff are comparable except for treatment status.</w:t>
      </w:r>
    </w:p>
    <w:p w14:paraId="1671580F" w14:textId="76EE9835"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lastRenderedPageBreak/>
        <w:t>Sorting around the cutoff can invalidate an RDD design.</w:t>
      </w:r>
    </w:p>
    <w:p w14:paraId="154BE3F6" w14:textId="32A36C1B" w:rsidR="00816C3C" w:rsidRPr="00816C3C" w:rsidRDefault="00816C3C" w:rsidP="00F82B0B">
      <w:pPr>
        <w:jc w:val="both"/>
        <w:rPr>
          <w:rFonts w:ascii="Garamond" w:hAnsi="Garamond"/>
          <w:sz w:val="24"/>
          <w:szCs w:val="24"/>
        </w:rPr>
      </w:pPr>
      <w:r w:rsidRPr="00816C3C">
        <w:rPr>
          <w:rFonts w:ascii="Garamond" w:hAnsi="Garamond"/>
          <w:sz w:val="24"/>
          <w:szCs w:val="24"/>
        </w:rPr>
        <w:t>True. If individuals manipulate the running variable to gain eligibility, treatment assignment is no longer as-good-as-random near the cutoff.</w:t>
      </w:r>
      <w:r w:rsidR="00F82B0B">
        <w:rPr>
          <w:rFonts w:ascii="Garamond" w:hAnsi="Garamond"/>
          <w:sz w:val="24"/>
          <w:szCs w:val="24"/>
        </w:rPr>
        <w:t xml:space="preserve"> There is evidence of manipulation.</w:t>
      </w:r>
    </w:p>
    <w:p w14:paraId="1B7503CD" w14:textId="6F2F0662"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Corrective taxes are designed to reduce externalities.</w:t>
      </w:r>
    </w:p>
    <w:p w14:paraId="731F821F"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Corrective taxes aim to align private incentives with social costs by correcting externalities such as pollution or unhealthy consumption.</w:t>
      </w:r>
    </w:p>
    <w:p w14:paraId="30C41434" w14:textId="5FBB0461"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Synthetic Control Methods construct a counterfactual using a weighted average of control units.</w:t>
      </w:r>
    </w:p>
    <w:p w14:paraId="6D47D7A5"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SCM builds a synthetic version of the treated unit by assigning weights to control units that best reproduce pre-treatment characteristics.</w:t>
      </w:r>
    </w:p>
    <w:p w14:paraId="7828BD17" w14:textId="2FBFEA3A"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Placebo tests in SCM help evaluate whether estimated effects could arise by chance.</w:t>
      </w:r>
    </w:p>
    <w:p w14:paraId="4DEB07C7"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Researchers apply the same method to untreated units to see whether similarly large effects frequently appear randomly.</w:t>
      </w:r>
    </w:p>
    <w:p w14:paraId="0F8BD6A1" w14:textId="31806B7E"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Average tax rates and marginal tax rates are the same concept.</w:t>
      </w:r>
    </w:p>
    <w:p w14:paraId="02B59FFB" w14:textId="77777777" w:rsidR="00816C3C" w:rsidRPr="00816C3C" w:rsidRDefault="00816C3C" w:rsidP="00F82B0B">
      <w:pPr>
        <w:jc w:val="both"/>
        <w:rPr>
          <w:rFonts w:ascii="Garamond" w:hAnsi="Garamond"/>
          <w:sz w:val="24"/>
          <w:szCs w:val="24"/>
        </w:rPr>
      </w:pPr>
      <w:r w:rsidRPr="00816C3C">
        <w:rPr>
          <w:rFonts w:ascii="Garamond" w:hAnsi="Garamond"/>
          <w:sz w:val="24"/>
          <w:szCs w:val="24"/>
        </w:rPr>
        <w:t>False. The average tax rate refers to taxes paid as a share of total income, while the marginal tax rate refers to the tax applied to the next unit of income earned.</w:t>
      </w:r>
    </w:p>
    <w:p w14:paraId="0CC70A39" w14:textId="57570CB6"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Difference-in-differences methods can be used to estimate labor supply elasticities after tax reforms.</w:t>
      </w:r>
    </w:p>
    <w:p w14:paraId="4ADFDC5D" w14:textId="77777777" w:rsidR="00816C3C" w:rsidRPr="00816C3C" w:rsidRDefault="00816C3C" w:rsidP="00F82B0B">
      <w:pPr>
        <w:jc w:val="both"/>
        <w:rPr>
          <w:rFonts w:ascii="Garamond" w:hAnsi="Garamond"/>
          <w:sz w:val="24"/>
          <w:szCs w:val="24"/>
        </w:rPr>
      </w:pPr>
      <w:r w:rsidRPr="00816C3C">
        <w:rPr>
          <w:rFonts w:ascii="Garamond" w:hAnsi="Garamond"/>
          <w:sz w:val="24"/>
          <w:szCs w:val="24"/>
        </w:rPr>
        <w:t>True. Studies such as Kleven and Schultz (2014) compare groups before and after tax reforms using DD methods to estimate labor supply responses.</w:t>
      </w:r>
    </w:p>
    <w:p w14:paraId="0915BA57" w14:textId="4AC78A6B" w:rsidR="00816C3C" w:rsidRPr="00F82B0B" w:rsidRDefault="00816C3C" w:rsidP="00F82B0B">
      <w:pPr>
        <w:pStyle w:val="ListParagraph"/>
        <w:numPr>
          <w:ilvl w:val="0"/>
          <w:numId w:val="1"/>
        </w:numPr>
        <w:jc w:val="both"/>
        <w:rPr>
          <w:rFonts w:ascii="Garamond" w:hAnsi="Garamond"/>
          <w:sz w:val="24"/>
          <w:szCs w:val="24"/>
        </w:rPr>
      </w:pPr>
      <w:r w:rsidRPr="00F82B0B">
        <w:rPr>
          <w:rFonts w:ascii="Garamond" w:hAnsi="Garamond"/>
          <w:sz w:val="24"/>
          <w:szCs w:val="24"/>
        </w:rPr>
        <w:t>High-skilled international workers may respond strongly to differences in tax rates across countries.</w:t>
      </w:r>
    </w:p>
    <w:p w14:paraId="512293B9" w14:textId="219A48A4" w:rsidR="00816C3C" w:rsidRPr="00590EF1" w:rsidRDefault="00816C3C" w:rsidP="00F82B0B">
      <w:pPr>
        <w:jc w:val="both"/>
        <w:rPr>
          <w:rFonts w:ascii="Garamond" w:hAnsi="Garamond"/>
          <w:sz w:val="24"/>
          <w:szCs w:val="24"/>
        </w:rPr>
      </w:pPr>
      <w:r w:rsidRPr="00816C3C">
        <w:rPr>
          <w:rFonts w:ascii="Garamond" w:hAnsi="Garamond"/>
          <w:sz w:val="24"/>
          <w:szCs w:val="24"/>
        </w:rPr>
        <w:t>True. Evidence from studies on football players and foreign workers suggests that highly skilled labor is sensitive to international tax differences.</w:t>
      </w:r>
    </w:p>
    <w:p w14:paraId="524ABCE4" w14:textId="77777777" w:rsidR="00F82B0B" w:rsidRDefault="00083DB6" w:rsidP="00F82B0B">
      <w:pPr>
        <w:pStyle w:val="ListParagraph"/>
        <w:numPr>
          <w:ilvl w:val="0"/>
          <w:numId w:val="1"/>
        </w:numPr>
        <w:jc w:val="both"/>
        <w:rPr>
          <w:rFonts w:ascii="Garamond" w:hAnsi="Garamond"/>
          <w:sz w:val="24"/>
          <w:szCs w:val="24"/>
        </w:rPr>
      </w:pPr>
      <w:r w:rsidRPr="00F82B0B">
        <w:rPr>
          <w:rFonts w:ascii="Garamond" w:hAnsi="Garamond"/>
          <w:sz w:val="24"/>
          <w:szCs w:val="24"/>
        </w:rPr>
        <w:t xml:space="preserve">Evidence of bunching around the first kink point of the EITC implies that the standard economic model of labor supply works. </w:t>
      </w:r>
    </w:p>
    <w:p w14:paraId="2FEABB3D" w14:textId="6491AB92" w:rsidR="005302A7" w:rsidRDefault="00083DB6" w:rsidP="00F82B0B">
      <w:pPr>
        <w:jc w:val="both"/>
        <w:rPr>
          <w:rFonts w:ascii="Garamond" w:hAnsi="Garamond"/>
          <w:sz w:val="24"/>
          <w:szCs w:val="24"/>
        </w:rPr>
      </w:pPr>
      <w:r w:rsidRPr="00F82B0B">
        <w:rPr>
          <w:rFonts w:ascii="Garamond" w:hAnsi="Garamond"/>
          <w:sz w:val="24"/>
          <w:szCs w:val="24"/>
        </w:rPr>
        <w:t xml:space="preserve"> False. While it is true that bunching at the first kink point of the EITC is predicted by the standard economic model, the evidence shows that such bunching comes from the self-employed (there is no such bunching for pure wage earners). As a result, bunching arises from the self-employed who report earnings to maximize their tax refunds (as the Tax Authority has no easy way to verify their numbers). Therefore, this is a tax evasion phenomenon, not a labor supply phenomenon. </w:t>
      </w:r>
    </w:p>
    <w:p w14:paraId="4391F483" w14:textId="3DBB44D7" w:rsidR="005302A7" w:rsidRPr="00F82B0B" w:rsidRDefault="005302A7" w:rsidP="00F82B0B">
      <w:pPr>
        <w:pStyle w:val="ListParagraph"/>
        <w:numPr>
          <w:ilvl w:val="0"/>
          <w:numId w:val="1"/>
        </w:numPr>
        <w:jc w:val="both"/>
        <w:rPr>
          <w:rFonts w:ascii="Garamond" w:hAnsi="Garamond"/>
          <w:sz w:val="24"/>
          <w:szCs w:val="24"/>
        </w:rPr>
      </w:pPr>
      <w:r w:rsidRPr="00F82B0B">
        <w:rPr>
          <w:rFonts w:ascii="Garamond" w:hAnsi="Garamond"/>
          <w:sz w:val="24"/>
          <w:szCs w:val="24"/>
        </w:rPr>
        <w:t xml:space="preserve">Since the 2000s, the main driver of the gender gap has been differences in education level between men and women. </w:t>
      </w:r>
    </w:p>
    <w:p w14:paraId="56322F69" w14:textId="006FD7A1" w:rsidR="00083DB6" w:rsidRPr="00590EF1" w:rsidRDefault="005302A7" w:rsidP="00F82B0B">
      <w:pPr>
        <w:jc w:val="both"/>
        <w:rPr>
          <w:rFonts w:ascii="Garamond" w:hAnsi="Garamond"/>
          <w:sz w:val="24"/>
          <w:szCs w:val="24"/>
        </w:rPr>
      </w:pPr>
      <w:r w:rsidRPr="00590EF1">
        <w:rPr>
          <w:rFonts w:ascii="Garamond" w:hAnsi="Garamond"/>
          <w:sz w:val="24"/>
          <w:szCs w:val="24"/>
        </w:rPr>
        <w:t>False. Since the 2000s, education and more generally human capital cannot explain much of the gender pay gap. Industry and occupation choices as well as child penalty effects (see Kleven, Landais, et al. papers) are the main drivers of the gender pay gap.</w:t>
      </w:r>
    </w:p>
    <w:p w14:paraId="2D798530" w14:textId="726D3D0B" w:rsidR="00083DB6" w:rsidRPr="00F82B0B" w:rsidRDefault="00083DB6" w:rsidP="00F82B0B">
      <w:pPr>
        <w:pStyle w:val="ListParagraph"/>
        <w:numPr>
          <w:ilvl w:val="0"/>
          <w:numId w:val="1"/>
        </w:numPr>
        <w:jc w:val="both"/>
        <w:rPr>
          <w:rFonts w:ascii="Garamond" w:hAnsi="Garamond"/>
          <w:sz w:val="24"/>
          <w:szCs w:val="24"/>
        </w:rPr>
      </w:pPr>
      <w:r w:rsidRPr="00F82B0B">
        <w:rPr>
          <w:rFonts w:ascii="Garamond" w:hAnsi="Garamond"/>
          <w:sz w:val="24"/>
          <w:szCs w:val="24"/>
        </w:rPr>
        <w:lastRenderedPageBreak/>
        <w:t xml:space="preserve">The Earned Income Tax Credit (EITC) program in the United States is likely to discourage labor supply on average because most of the recipients are in the plateau or phasing out range of the program. </w:t>
      </w:r>
    </w:p>
    <w:p w14:paraId="3BDF33DC" w14:textId="0A01C1AE" w:rsidR="0030587F" w:rsidRPr="00590EF1" w:rsidRDefault="00083DB6" w:rsidP="00F82B0B">
      <w:pPr>
        <w:jc w:val="both"/>
        <w:rPr>
          <w:rFonts w:ascii="Garamond" w:hAnsi="Garamond"/>
          <w:sz w:val="24"/>
          <w:szCs w:val="24"/>
        </w:rPr>
      </w:pPr>
      <w:r w:rsidRPr="00590EF1">
        <w:rPr>
          <w:rFonts w:ascii="Garamond" w:hAnsi="Garamond"/>
          <w:sz w:val="24"/>
          <w:szCs w:val="24"/>
        </w:rPr>
        <w:t>False: It is true that along the intensive margin, the EITC discourages labor supply in the plateau and phase-out, but the EITC unambiguously encourages work along the extensive margin of labor supply</w:t>
      </w:r>
      <w:r w:rsidR="00816C3C">
        <w:rPr>
          <w:rFonts w:ascii="Garamond" w:hAnsi="Garamond"/>
          <w:sz w:val="24"/>
          <w:szCs w:val="24"/>
        </w:rPr>
        <w:t>.</w:t>
      </w:r>
    </w:p>
    <w:p w14:paraId="3ED96805" w14:textId="357855BE" w:rsidR="00083DB6" w:rsidRPr="00590EF1" w:rsidRDefault="00083DB6" w:rsidP="00F82B0B">
      <w:pPr>
        <w:jc w:val="both"/>
        <w:rPr>
          <w:rFonts w:ascii="Garamond" w:hAnsi="Garamond"/>
          <w:sz w:val="24"/>
          <w:szCs w:val="24"/>
        </w:rPr>
      </w:pPr>
    </w:p>
    <w:p w14:paraId="1E2C3904" w14:textId="77777777" w:rsidR="00297BFE" w:rsidRPr="00590EF1" w:rsidRDefault="00297BFE" w:rsidP="00F82B0B">
      <w:pPr>
        <w:jc w:val="both"/>
        <w:rPr>
          <w:rFonts w:ascii="Garamond" w:hAnsi="Garamond"/>
          <w:sz w:val="24"/>
          <w:szCs w:val="24"/>
        </w:rPr>
      </w:pPr>
      <w:r w:rsidRPr="00590EF1">
        <w:rPr>
          <w:rFonts w:ascii="Garamond" w:hAnsi="Garamond"/>
          <w:sz w:val="24"/>
          <w:szCs w:val="24"/>
        </w:rPr>
        <w:t xml:space="preserve">B. Other questions </w:t>
      </w:r>
    </w:p>
    <w:p w14:paraId="074BCF2D" w14:textId="14A04BF5" w:rsidR="00297BFE" w:rsidRPr="00590EF1" w:rsidRDefault="00297BFE" w:rsidP="00F82B0B">
      <w:pPr>
        <w:jc w:val="both"/>
        <w:rPr>
          <w:rFonts w:ascii="Garamond" w:hAnsi="Garamond"/>
          <w:sz w:val="24"/>
          <w:szCs w:val="24"/>
        </w:rPr>
      </w:pPr>
      <w:r w:rsidRPr="00590EF1">
        <w:rPr>
          <w:rFonts w:ascii="Garamond" w:hAnsi="Garamond"/>
          <w:sz w:val="24"/>
          <w:szCs w:val="24"/>
        </w:rPr>
        <w:t xml:space="preserve">1. Explain in your own words the equity-efficiency trade-off of </w:t>
      </w:r>
      <w:r w:rsidR="005302A7">
        <w:rPr>
          <w:rFonts w:ascii="Garamond" w:hAnsi="Garamond"/>
          <w:sz w:val="24"/>
          <w:szCs w:val="24"/>
        </w:rPr>
        <w:t xml:space="preserve">increasing </w:t>
      </w:r>
      <w:r w:rsidRPr="00590EF1">
        <w:rPr>
          <w:rFonts w:ascii="Garamond" w:hAnsi="Garamond"/>
          <w:sz w:val="24"/>
          <w:szCs w:val="24"/>
        </w:rPr>
        <w:t xml:space="preserve">taxation. </w:t>
      </w:r>
    </w:p>
    <w:p w14:paraId="647E3044" w14:textId="6D13DB61" w:rsidR="00083DB6" w:rsidRPr="00590EF1" w:rsidRDefault="00297BFE" w:rsidP="00F82B0B">
      <w:pPr>
        <w:jc w:val="both"/>
        <w:rPr>
          <w:rFonts w:ascii="Garamond" w:hAnsi="Garamond"/>
          <w:sz w:val="24"/>
          <w:szCs w:val="24"/>
        </w:rPr>
      </w:pPr>
      <w:r w:rsidRPr="00590EF1">
        <w:rPr>
          <w:rFonts w:ascii="Garamond" w:hAnsi="Garamond"/>
          <w:sz w:val="24"/>
          <w:szCs w:val="24"/>
        </w:rPr>
        <w:t>There are two main effects of taxation on revenue. On the one hand, there is a mechanical effect. Everything else constant, higher taxes imply more revenue. However, higher taxation also affects incentives (for example, reducing the incentives to work) and therefore introduces ”behavioral responses” that play in the opposite direction. The higher the tax rate, the higher the mechanical effect, but the higher the behavioral responses as well.</w:t>
      </w:r>
    </w:p>
    <w:p w14:paraId="0F978949" w14:textId="77777777" w:rsidR="00297BFE" w:rsidRPr="00590EF1" w:rsidRDefault="00297BFE" w:rsidP="00F82B0B">
      <w:pPr>
        <w:jc w:val="both"/>
        <w:rPr>
          <w:rFonts w:ascii="Garamond" w:hAnsi="Garamond"/>
          <w:sz w:val="24"/>
          <w:szCs w:val="24"/>
        </w:rPr>
      </w:pPr>
    </w:p>
    <w:p w14:paraId="4437A3E5" w14:textId="743305A8" w:rsidR="00297BFE" w:rsidRPr="005302A7" w:rsidRDefault="00590EF1" w:rsidP="00F82B0B">
      <w:pPr>
        <w:jc w:val="both"/>
        <w:rPr>
          <w:rFonts w:ascii="Garamond" w:hAnsi="Garamond"/>
          <w:sz w:val="24"/>
          <w:szCs w:val="24"/>
          <w:lang w:val="pt-BR"/>
        </w:rPr>
      </w:pPr>
      <w:r w:rsidRPr="005302A7">
        <w:rPr>
          <w:rFonts w:ascii="Garamond" w:hAnsi="Garamond"/>
          <w:sz w:val="24"/>
          <w:szCs w:val="24"/>
          <w:lang w:val="pt-BR"/>
        </w:rPr>
        <w:t>2</w:t>
      </w:r>
      <w:r w:rsidR="00297BFE" w:rsidRPr="005302A7">
        <w:rPr>
          <w:rFonts w:ascii="Garamond" w:hAnsi="Garamond"/>
          <w:sz w:val="24"/>
          <w:szCs w:val="24"/>
          <w:lang w:val="pt-BR"/>
        </w:rPr>
        <w:t xml:space="preserve">. </w:t>
      </w:r>
      <w:proofErr w:type="spellStart"/>
      <w:r w:rsidR="00297BFE" w:rsidRPr="005302A7">
        <w:rPr>
          <w:rFonts w:ascii="Garamond" w:hAnsi="Garamond"/>
          <w:sz w:val="24"/>
          <w:szCs w:val="24"/>
          <w:lang w:val="pt-BR"/>
        </w:rPr>
        <w:t>Consider</w:t>
      </w:r>
      <w:proofErr w:type="spellEnd"/>
      <w:r w:rsidR="00297BFE" w:rsidRPr="005302A7">
        <w:rPr>
          <w:rFonts w:ascii="Garamond" w:hAnsi="Garamond"/>
          <w:sz w:val="24"/>
          <w:szCs w:val="24"/>
          <w:lang w:val="pt-BR"/>
        </w:rPr>
        <w:t xml:space="preserve"> </w:t>
      </w:r>
      <w:proofErr w:type="spellStart"/>
      <w:r w:rsidR="00297BFE" w:rsidRPr="005302A7">
        <w:rPr>
          <w:rFonts w:ascii="Garamond" w:hAnsi="Garamond"/>
          <w:sz w:val="24"/>
          <w:szCs w:val="24"/>
          <w:lang w:val="pt-BR"/>
        </w:rPr>
        <w:t>Naritomi</w:t>
      </w:r>
      <w:proofErr w:type="spellEnd"/>
      <w:r w:rsidR="00297BFE" w:rsidRPr="005302A7">
        <w:rPr>
          <w:rFonts w:ascii="Garamond" w:hAnsi="Garamond"/>
          <w:sz w:val="24"/>
          <w:szCs w:val="24"/>
          <w:lang w:val="pt-BR"/>
        </w:rPr>
        <w:t xml:space="preserve"> (2019, AER) </w:t>
      </w:r>
      <w:proofErr w:type="spellStart"/>
      <w:r w:rsidR="00297BFE" w:rsidRPr="005302A7">
        <w:rPr>
          <w:rFonts w:ascii="Garamond" w:hAnsi="Garamond"/>
          <w:sz w:val="24"/>
          <w:szCs w:val="24"/>
          <w:lang w:val="pt-BR"/>
        </w:rPr>
        <w:t>on</w:t>
      </w:r>
      <w:proofErr w:type="spellEnd"/>
      <w:r w:rsidR="00297BFE" w:rsidRPr="005302A7">
        <w:rPr>
          <w:rFonts w:ascii="Garamond" w:hAnsi="Garamond"/>
          <w:sz w:val="24"/>
          <w:szCs w:val="24"/>
          <w:lang w:val="pt-BR"/>
        </w:rPr>
        <w:t xml:space="preserve"> a </w:t>
      </w:r>
      <w:proofErr w:type="spellStart"/>
      <w:r w:rsidR="00297BFE" w:rsidRPr="005302A7">
        <w:rPr>
          <w:rFonts w:ascii="Garamond" w:hAnsi="Garamond"/>
          <w:sz w:val="24"/>
          <w:szCs w:val="24"/>
          <w:lang w:val="pt-BR"/>
        </w:rPr>
        <w:t>quasi</w:t>
      </w:r>
      <w:proofErr w:type="spellEnd"/>
      <w:r w:rsidR="00297BFE" w:rsidRPr="005302A7">
        <w:rPr>
          <w:rFonts w:ascii="Garamond" w:hAnsi="Garamond"/>
          <w:sz w:val="24"/>
          <w:szCs w:val="24"/>
          <w:lang w:val="pt-BR"/>
        </w:rPr>
        <w:t xml:space="preserve">-natural </w:t>
      </w:r>
      <w:proofErr w:type="spellStart"/>
      <w:r w:rsidR="00297BFE" w:rsidRPr="005302A7">
        <w:rPr>
          <w:rFonts w:ascii="Garamond" w:hAnsi="Garamond"/>
          <w:sz w:val="24"/>
          <w:szCs w:val="24"/>
          <w:lang w:val="pt-BR"/>
        </w:rPr>
        <w:t>experiment</w:t>
      </w:r>
      <w:proofErr w:type="spellEnd"/>
      <w:r w:rsidR="00297BFE" w:rsidRPr="005302A7">
        <w:rPr>
          <w:rFonts w:ascii="Garamond" w:hAnsi="Garamond"/>
          <w:sz w:val="24"/>
          <w:szCs w:val="24"/>
          <w:lang w:val="pt-BR"/>
        </w:rPr>
        <w:t xml:space="preserve"> </w:t>
      </w:r>
      <w:proofErr w:type="spellStart"/>
      <w:r w:rsidR="00297BFE" w:rsidRPr="005302A7">
        <w:rPr>
          <w:rFonts w:ascii="Garamond" w:hAnsi="Garamond"/>
          <w:sz w:val="24"/>
          <w:szCs w:val="24"/>
          <w:lang w:val="pt-BR"/>
        </w:rPr>
        <w:t>using</w:t>
      </w:r>
      <w:proofErr w:type="spellEnd"/>
      <w:r w:rsidR="00297BFE" w:rsidRPr="005302A7">
        <w:rPr>
          <w:rFonts w:ascii="Garamond" w:hAnsi="Garamond"/>
          <w:sz w:val="24"/>
          <w:szCs w:val="24"/>
          <w:lang w:val="pt-BR"/>
        </w:rPr>
        <w:t xml:space="preserve"> data </w:t>
      </w:r>
      <w:proofErr w:type="spellStart"/>
      <w:r w:rsidR="00297BFE" w:rsidRPr="005302A7">
        <w:rPr>
          <w:rFonts w:ascii="Garamond" w:hAnsi="Garamond"/>
          <w:sz w:val="24"/>
          <w:szCs w:val="24"/>
          <w:lang w:val="pt-BR"/>
        </w:rPr>
        <w:t>from</w:t>
      </w:r>
      <w:proofErr w:type="spellEnd"/>
      <w:r w:rsidR="00297BFE" w:rsidRPr="005302A7">
        <w:rPr>
          <w:rFonts w:ascii="Garamond" w:hAnsi="Garamond"/>
          <w:sz w:val="24"/>
          <w:szCs w:val="24"/>
          <w:lang w:val="pt-BR"/>
        </w:rPr>
        <w:t xml:space="preserve"> São Paulo. </w:t>
      </w:r>
    </w:p>
    <w:p w14:paraId="229871E4" w14:textId="79942AB7" w:rsidR="00297BFE" w:rsidRPr="00590EF1" w:rsidRDefault="00297BFE" w:rsidP="00F82B0B">
      <w:pPr>
        <w:jc w:val="both"/>
        <w:rPr>
          <w:rFonts w:ascii="Garamond" w:hAnsi="Garamond"/>
          <w:sz w:val="24"/>
          <w:szCs w:val="24"/>
        </w:rPr>
      </w:pPr>
      <w:r w:rsidRPr="00590EF1">
        <w:rPr>
          <w:rFonts w:ascii="Garamond" w:hAnsi="Garamond"/>
          <w:sz w:val="24"/>
          <w:szCs w:val="24"/>
        </w:rPr>
        <w:t xml:space="preserve">a) Explain how the Nota Fiscal </w:t>
      </w:r>
      <w:proofErr w:type="spellStart"/>
      <w:r w:rsidRPr="00590EF1">
        <w:rPr>
          <w:rFonts w:ascii="Garamond" w:hAnsi="Garamond"/>
          <w:sz w:val="24"/>
          <w:szCs w:val="24"/>
        </w:rPr>
        <w:t>Paulista</w:t>
      </w:r>
      <w:proofErr w:type="spellEnd"/>
      <w:r w:rsidRPr="00590EF1">
        <w:rPr>
          <w:rFonts w:ascii="Garamond" w:hAnsi="Garamond"/>
          <w:sz w:val="24"/>
          <w:szCs w:val="24"/>
        </w:rPr>
        <w:t xml:space="preserve"> (NFP) program uses consumers as “tax auditors”. What is the general idea behind it?</w:t>
      </w:r>
    </w:p>
    <w:p w14:paraId="7A2FB5B3" w14:textId="1007BDE9" w:rsidR="00F90BD5" w:rsidRPr="00590EF1" w:rsidRDefault="00297BFE" w:rsidP="00F82B0B">
      <w:pPr>
        <w:jc w:val="both"/>
        <w:rPr>
          <w:rFonts w:ascii="Garamond" w:hAnsi="Garamond"/>
          <w:sz w:val="24"/>
          <w:szCs w:val="24"/>
        </w:rPr>
      </w:pPr>
      <w:r w:rsidRPr="00590EF1">
        <w:rPr>
          <w:rFonts w:ascii="Garamond" w:hAnsi="Garamond"/>
          <w:sz w:val="24"/>
          <w:szCs w:val="24"/>
        </w:rPr>
        <w:t xml:space="preserve">The VAT faces the “last mile” problem. That is, the self-enforcing property of the VAT breaks down at the final consumer stage. Usually, there is no benefit for consumers derived from asking for a receipt. As consumers do not ask for a receipt, there is an incentive for firms not to issue a receipt and to underreport revenues from their sales to final consumers. The NFP introduces a monetary incentive for consumers to ask for a receipt: a lottery ticket with which consumers can win monetary prizes. </w:t>
      </w:r>
    </w:p>
    <w:p w14:paraId="14E42DF6" w14:textId="77777777" w:rsidR="00F90BD5" w:rsidRPr="00590EF1" w:rsidRDefault="00297BFE" w:rsidP="00F82B0B">
      <w:pPr>
        <w:jc w:val="both"/>
        <w:rPr>
          <w:rFonts w:ascii="Garamond" w:hAnsi="Garamond"/>
          <w:sz w:val="24"/>
          <w:szCs w:val="24"/>
        </w:rPr>
      </w:pPr>
      <w:r w:rsidRPr="00590EF1">
        <w:rPr>
          <w:rFonts w:ascii="Garamond" w:hAnsi="Garamond"/>
          <w:sz w:val="24"/>
          <w:szCs w:val="24"/>
        </w:rPr>
        <w:t xml:space="preserve">b) Explain how the paper identifies the impact of the NFP program on firms’ revenues reported using sector data. </w:t>
      </w:r>
    </w:p>
    <w:p w14:paraId="76E632AD" w14:textId="135A93C8" w:rsidR="00F90BD5" w:rsidRPr="00590EF1" w:rsidRDefault="00297BFE" w:rsidP="00F82B0B">
      <w:pPr>
        <w:jc w:val="both"/>
        <w:rPr>
          <w:rFonts w:ascii="Garamond" w:hAnsi="Garamond"/>
          <w:sz w:val="24"/>
          <w:szCs w:val="24"/>
        </w:rPr>
      </w:pPr>
      <w:r w:rsidRPr="00590EF1">
        <w:rPr>
          <w:rFonts w:ascii="Garamond" w:hAnsi="Garamond"/>
          <w:sz w:val="24"/>
          <w:szCs w:val="24"/>
        </w:rPr>
        <w:t xml:space="preserve">Answer: Even though the NFP program treats all taxpayers equally, taxpayers are differently affected by the NFP program. The paper exploits that wholesale firms (that mainly sell to other firms) are less affected by the NFP program than retail firms are (as they are mostly selling to consumers). </w:t>
      </w:r>
      <w:proofErr w:type="spellStart"/>
      <w:r w:rsidRPr="00590EF1">
        <w:rPr>
          <w:rFonts w:ascii="Garamond" w:hAnsi="Garamond"/>
          <w:sz w:val="24"/>
          <w:szCs w:val="24"/>
        </w:rPr>
        <w:t>Naritomi</w:t>
      </w:r>
      <w:proofErr w:type="spellEnd"/>
      <w:r w:rsidRPr="00590EF1">
        <w:rPr>
          <w:rFonts w:ascii="Garamond" w:hAnsi="Garamond"/>
          <w:sz w:val="24"/>
          <w:szCs w:val="24"/>
        </w:rPr>
        <w:t xml:space="preserve"> uses a difference-in-differences analyses to investigate differences in the changes in revenue reported between retail and wholesale firms </w:t>
      </w:r>
    </w:p>
    <w:p w14:paraId="5C331205" w14:textId="77777777" w:rsidR="00F90BD5" w:rsidRPr="00590EF1" w:rsidRDefault="00297BFE" w:rsidP="00F82B0B">
      <w:pPr>
        <w:jc w:val="both"/>
        <w:rPr>
          <w:rFonts w:ascii="Garamond" w:hAnsi="Garamond"/>
          <w:sz w:val="24"/>
          <w:szCs w:val="24"/>
        </w:rPr>
      </w:pPr>
      <w:r w:rsidRPr="00590EF1">
        <w:rPr>
          <w:rFonts w:ascii="Garamond" w:hAnsi="Garamond"/>
          <w:sz w:val="24"/>
          <w:szCs w:val="24"/>
        </w:rPr>
        <w:t xml:space="preserve">c) What are the identifying assumptions? Do these assumptions plausibly hold in the studied context? What is the main concern with respect to the identification strategy? </w:t>
      </w:r>
    </w:p>
    <w:p w14:paraId="74E8D8BA" w14:textId="0766ED5A" w:rsidR="00297BFE" w:rsidRPr="00590EF1" w:rsidRDefault="00297BFE" w:rsidP="00F82B0B">
      <w:pPr>
        <w:jc w:val="both"/>
        <w:rPr>
          <w:rFonts w:ascii="Garamond" w:hAnsi="Garamond"/>
          <w:sz w:val="24"/>
          <w:szCs w:val="24"/>
        </w:rPr>
      </w:pPr>
      <w:r w:rsidRPr="00590EF1">
        <w:rPr>
          <w:rFonts w:ascii="Garamond" w:hAnsi="Garamond"/>
          <w:sz w:val="24"/>
          <w:szCs w:val="24"/>
        </w:rPr>
        <w:t>•Parallel trend</w:t>
      </w:r>
      <w:r w:rsidR="00816C3C">
        <w:rPr>
          <w:rFonts w:ascii="Garamond" w:hAnsi="Garamond"/>
          <w:sz w:val="24"/>
          <w:szCs w:val="24"/>
        </w:rPr>
        <w:t>s’</w:t>
      </w:r>
      <w:r w:rsidRPr="00590EF1">
        <w:rPr>
          <w:rFonts w:ascii="Garamond" w:hAnsi="Garamond"/>
          <w:sz w:val="24"/>
          <w:szCs w:val="24"/>
        </w:rPr>
        <w:t xml:space="preserve"> assumption -&gt; reported revenue changes closely trace each other until the NFP was implemented (except for slightly different patterns in seasonality; the retail time series exhibits spikes in December) •No shocks that heterogeneously affect retail and wholesale firms. -&gt; Difficult to test, no indication for such heterogeneous shocks. •No selection into treatment. -&gt; Unlikely that a firm chose its type of business and type of customer in anticipation of the policy</w:t>
      </w:r>
    </w:p>
    <w:p w14:paraId="4CE96E1D" w14:textId="2DD40BB4" w:rsidR="00083DB6" w:rsidRPr="00F82B0B" w:rsidRDefault="00F90BD5" w:rsidP="00F82B0B">
      <w:pPr>
        <w:jc w:val="both"/>
        <w:rPr>
          <w:rFonts w:ascii="Garamond" w:hAnsi="Garamond"/>
          <w:sz w:val="24"/>
          <w:szCs w:val="24"/>
        </w:rPr>
      </w:pPr>
      <w:r w:rsidRPr="00590EF1">
        <w:rPr>
          <w:rFonts w:ascii="Garamond" w:hAnsi="Garamond"/>
          <w:sz w:val="24"/>
          <w:szCs w:val="24"/>
        </w:rPr>
        <w:t xml:space="preserve">Concern with DD: wholesalers also sell to consumers. If these consumers got </w:t>
      </w:r>
      <w:r w:rsidR="00816C3C">
        <w:rPr>
          <w:rFonts w:ascii="Garamond" w:hAnsi="Garamond"/>
          <w:sz w:val="24"/>
          <w:szCs w:val="24"/>
        </w:rPr>
        <w:t>used</w:t>
      </w:r>
      <w:r w:rsidRPr="00590EF1">
        <w:rPr>
          <w:rFonts w:ascii="Garamond" w:hAnsi="Garamond"/>
          <w:sz w:val="24"/>
          <w:szCs w:val="24"/>
        </w:rPr>
        <w:t xml:space="preserve"> to ask for receipts, wholesalers also receive more demands for receipt (control is also partially treated).</w:t>
      </w:r>
    </w:p>
    <w:sectPr w:rsidR="00083DB6" w:rsidRPr="00F82B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5088"/>
    <w:multiLevelType w:val="hybridMultilevel"/>
    <w:tmpl w:val="75CCA9A4"/>
    <w:lvl w:ilvl="0" w:tplc="D7846E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262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DB6"/>
    <w:rsid w:val="00083DB6"/>
    <w:rsid w:val="001F1C47"/>
    <w:rsid w:val="00297BFE"/>
    <w:rsid w:val="0030587F"/>
    <w:rsid w:val="005302A7"/>
    <w:rsid w:val="00590EF1"/>
    <w:rsid w:val="007457E7"/>
    <w:rsid w:val="00816C3C"/>
    <w:rsid w:val="00DC5221"/>
    <w:rsid w:val="00F82B0B"/>
    <w:rsid w:val="00F90B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2489A"/>
  <w15:chartTrackingRefBased/>
  <w15:docId w15:val="{C3363563-8A9A-4F64-9E08-C6D180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D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Pereira dos Santos</dc:creator>
  <cp:keywords/>
  <dc:description/>
  <cp:lastModifiedBy>João Pereira dos Santos</cp:lastModifiedBy>
  <cp:revision>3</cp:revision>
  <dcterms:created xsi:type="dcterms:W3CDTF">2025-04-18T17:44:00Z</dcterms:created>
  <dcterms:modified xsi:type="dcterms:W3CDTF">2026-05-14T08:33:00Z</dcterms:modified>
</cp:coreProperties>
</file>